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VISITAS GUIADAS em SAÚDE MENTAL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UMA EXPERIÊNCIA de REDE</w:t>
      </w:r>
    </w:p>
    <w:p w:rsidR="00000000" w:rsidDel="00000000" w:rsidP="00000000" w:rsidRDefault="00000000" w:rsidRPr="00000000" w14:paraId="00000003">
      <w:pPr>
        <w:spacing w:after="280" w:before="28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FABIANA PIMENTA DE ALMEIDA</w:t>
      </w:r>
    </w:p>
    <w:p w:rsidR="00000000" w:rsidDel="00000000" w:rsidP="00000000" w:rsidRDefault="00000000" w:rsidRPr="00000000" w14:paraId="00000005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Terapeuta Ocupacional - Centro de Atenção Psicossocial Álcool e Drogas de Itabira</w:t>
      </w:r>
    </w:p>
    <w:p w:rsidR="00000000" w:rsidDel="00000000" w:rsidP="00000000" w:rsidRDefault="00000000" w:rsidRPr="00000000" w14:paraId="00000006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JUNIA MARISE LAGE SAMPAIO</w:t>
      </w:r>
    </w:p>
    <w:p w:rsidR="00000000" w:rsidDel="00000000" w:rsidP="00000000" w:rsidRDefault="00000000" w:rsidRPr="00000000" w14:paraId="00000007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Terapeuta Ocupacional - Centro de Atenção Psicossocial Infanto Juvenil de Itabira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SANDRA MARA FERREIRA MARTINS</w:t>
      </w:r>
    </w:p>
    <w:p w:rsidR="00000000" w:rsidDel="00000000" w:rsidP="00000000" w:rsidRDefault="00000000" w:rsidRPr="00000000" w14:paraId="00000009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Terapeuta Ocupacional - Centro de Atenção Psicossocial  de Itabira</w:t>
      </w:r>
    </w:p>
    <w:p w:rsidR="00000000" w:rsidDel="00000000" w:rsidP="00000000" w:rsidRDefault="00000000" w:rsidRPr="00000000" w14:paraId="0000000A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TANIA MOREIRA COUTO GERMANO</w:t>
      </w:r>
    </w:p>
    <w:p w:rsidR="00000000" w:rsidDel="00000000" w:rsidP="00000000" w:rsidRDefault="00000000" w:rsidRPr="00000000" w14:paraId="0000000B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Terapeuta Ocupacional - Centro de Convivência Interagir de Itabira</w:t>
      </w:r>
    </w:p>
    <w:p w:rsidR="00000000" w:rsidDel="00000000" w:rsidP="00000000" w:rsidRDefault="00000000" w:rsidRPr="00000000" w14:paraId="0000000C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d37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cuidado em saúde mental é ofertado pelo Sistema Único de Saúde (SUS) por meio de vários dispositivos e modelos, organizados na Rede de Atenção Psicossocial (RAPS).</w:t>
      </w:r>
    </w:p>
    <w:p w:rsidR="00000000" w:rsidDel="00000000" w:rsidP="00000000" w:rsidRDefault="00000000" w:rsidRPr="00000000" w14:paraId="00000010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RAPS atualmente é composta pela Atenção Primária em Saúde, Centros de Atenção Psicossocial (CAPS II, CAPSi e CAPSad), Leitos de Saúde Mental no Hospital Geral e Centro de Convivência Interagir. Estes serviços, pautados na intersetorialidade e na corresponsabilidade para garantia de direitos de todos os usuários, operam nos territórios, compreendidos não apenas como espaços geográficos, mas territórios de pessoas, de instituições, dos cenários nos quais se desenvolve a vida cotidiana de usuários e familiares e constituem-se como um lugar na comunidade: lugar de referência e de cuidado, promotor de vida, que tem a missão de garantir o exercício da cidadania e a inclusão social de usuários e de familiares (Brasil, 2005).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desses equipamentos, as redes de assistência social, escolas, atividades esportivas, culturais e de lazer, contribuem com a promoção da qualidade de vida dos usuários da saúde mental no município.</w:t>
      </w:r>
    </w:p>
    <w:p w:rsidR="00000000" w:rsidDel="00000000" w:rsidP="00000000" w:rsidRDefault="00000000" w:rsidRPr="00000000" w14:paraId="00000011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base nessa premissa, o presente relato visa apresentar a experiência vivenciada nos serviços de atenção psicossocial do município, a partir de visitas guiadas realizadas nos espaços que foram abertos à comunidade, aos profissionais de saúde e demais atores das redes intersetoriais que atuam em conjunto com o público atendido. A fim de caracterizar o perfil do público visitante e avaliar os impactos da visita na aquisição de conhecimento sobre os equipamentos da Rede de Atenção Psicossocial (RAPS) e suas respectivas funções, foi aplicado um formulário de pesquisa aos participantes.</w:t>
      </w:r>
    </w:p>
    <w:p w:rsidR="00000000" w:rsidDel="00000000" w:rsidP="00000000" w:rsidRDefault="00000000" w:rsidRPr="00000000" w14:paraId="00000012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METODOLOGIA</w:t>
      </w:r>
    </w:p>
    <w:p w:rsidR="00000000" w:rsidDel="00000000" w:rsidP="00000000" w:rsidRDefault="00000000" w:rsidRPr="00000000" w14:paraId="00000013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partir da identificação, durante processos de articulação da rede (como discussões de projetos terapêuticos, apoio matricial e reuniões intersetoriais), de lacunas no conhecimento dos profissionais acerca do funcionamento e da rotina dos equipamentos da rede,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possibilitar aos visitantes conhecimento quanto a nossa estrutura física, de pessoal, histórico da instituição, serviços oferecidos, bem como os processos de trabalho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serviços iniciaram o planejamento de ações estratégicas. Adicionalmente, reconheceu-se a importância de ampliar as iniciativas de aproximação entre os membros da rede, buscando alternativas que transcendem os eventos formais.</w:t>
      </w:r>
    </w:p>
    <w:p w:rsidR="00000000" w:rsidDel="00000000" w:rsidP="00000000" w:rsidRDefault="00000000" w:rsidRPr="00000000" w14:paraId="00000014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Assim, durante os eventos do mês da Luta Antimanicomial, em maio de 2024, as visitas guiadas foram inseridas no calendário de programação do município.</w:t>
      </w:r>
    </w:p>
    <w:p w:rsidR="00000000" w:rsidDel="00000000" w:rsidP="00000000" w:rsidRDefault="00000000" w:rsidRPr="00000000" w14:paraId="00000015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Foi elaborado um roteiro para orientar a organização e informação acerca dos espaços das unidades: Acolhimento, Permanência-Dia, Atendimento Coletivo, Atendimento, Farmácia, Espaço de Convivência; Posto de Enfermagem, Cozinha e Refeitório. Cada equipe preparou o ambiente e organizou suas visitas conforme sua identidade, público atendido, atividades ofertadas. Os usuários foram incluídos em todas as etapas do processo: planejamento, preparação, recepção do público.</w:t>
      </w:r>
    </w:p>
    <w:p w:rsidR="00000000" w:rsidDel="00000000" w:rsidP="00000000" w:rsidRDefault="00000000" w:rsidRPr="00000000" w14:paraId="00000016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final da visita, os participantes preenchiam um formulário (físico ou online) com questões relativas à visita e ao serviço. Essas respostas serão descritas e analisadas nesse relato de experiência.</w:t>
      </w:r>
    </w:p>
    <w:p w:rsidR="00000000" w:rsidDel="00000000" w:rsidP="00000000" w:rsidRDefault="00000000" w:rsidRPr="00000000" w14:paraId="00000017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Observou-se que houve uma adesão de trabalhadores da saúde ao evento, sobretudo de trabalhadores da rede secundária de saúde.</w:t>
      </w:r>
    </w:p>
    <w:p w:rsidR="00000000" w:rsidDel="00000000" w:rsidP="00000000" w:rsidRDefault="00000000" w:rsidRPr="00000000" w14:paraId="00000018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 DISCUSSÃO</w:t>
      </w:r>
    </w:p>
    <w:p w:rsidR="00000000" w:rsidDel="00000000" w:rsidP="00000000" w:rsidRDefault="00000000" w:rsidRPr="00000000" w14:paraId="00000019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serviços receberam  188 visitantes nos 4 dias abertos ao público, como parte das comemorações da Semana da Luta Antimanicomial da cidade. No total, foram recebidas 91 respostas ao formulário sobre as visitas guiadas. </w:t>
      </w:r>
    </w:p>
    <w:p w:rsidR="00000000" w:rsidDel="00000000" w:rsidP="00000000" w:rsidRDefault="00000000" w:rsidRPr="00000000" w14:paraId="0000001A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primeira pergunta da pesquisa tinha como objetivo compreender os interesses que motivaram os participantes a realizarem a visita. Ao serem questionados sobre seus motivos, metade dos respondentes apontou um interesse pessoal no tema, sugerindo uma busca por conhecimento ou experiência pessoal. A outra metade, por sua vez, manifestou um interesse profissional, indicando que a visita estava relacionada às suas atividades laborais.</w:t>
      </w:r>
    </w:p>
    <w:p w:rsidR="00000000" w:rsidDel="00000000" w:rsidP="00000000" w:rsidRDefault="00000000" w:rsidRPr="00000000" w14:paraId="0000001B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249227" cy="3240969"/>
            <wp:effectExtent b="12700" l="12700" r="12700" t="12700"/>
            <wp:docPr descr="Gráfico" id="4" name="image6.png"/>
            <a:graphic>
              <a:graphicData uri="http://schemas.openxmlformats.org/drawingml/2006/picture">
                <pic:pic>
                  <pic:nvPicPr>
                    <pic:cNvPr descr="Gráfico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9227" cy="324096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Gráfico 1:  Motivo da visita aos equipamentos de saúde mental</w:t>
      </w:r>
    </w:p>
    <w:p w:rsidR="00000000" w:rsidDel="00000000" w:rsidP="00000000" w:rsidRDefault="00000000" w:rsidRPr="00000000" w14:paraId="0000001D">
      <w:pPr>
        <w:spacing w:after="280" w:before="28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segunda pergunta foi destinada a avaliar o nível de conhecimento prévio dos participantes em relação ao espaço visitado e revelou que 73% dos visitantes já haviam frequentado o local anteriormente. Esse dado aponta para a necessidade de implementar ações de divulgação mais robustas, com o objetivo de alcançar um público mais amplo e dar maior visibilidade aos serviços de saúde mental oferecidos.</w:t>
      </w:r>
    </w:p>
    <w:p w:rsidR="00000000" w:rsidDel="00000000" w:rsidP="00000000" w:rsidRDefault="00000000" w:rsidRPr="00000000" w14:paraId="0000001E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532948" cy="2795770"/>
            <wp:effectExtent b="12700" l="12700" r="12700" t="12700"/>
            <wp:docPr descr="Gráfico" id="7" name="image1.png"/>
            <a:graphic>
              <a:graphicData uri="http://schemas.openxmlformats.org/drawingml/2006/picture">
                <pic:pic>
                  <pic:nvPicPr>
                    <pic:cNvPr descr="Gráfic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2948" cy="279577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Gráfico 2: Familiaridade com os serviços de saúde visitados</w:t>
      </w:r>
    </w:p>
    <w:p w:rsidR="00000000" w:rsidDel="00000000" w:rsidP="00000000" w:rsidRDefault="00000000" w:rsidRPr="00000000" w14:paraId="00000021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fim de identificar o perfil dos participantes e avaliar a abrangência da ação de divulgação, foi realizada uma coleta de dados sobre a vinculação dos visitantes com a rede intersetorial. A análise dos resultados revelou que a maior parte dos participantes (44) era composta por profissionais da saúde, atuantes em diversos setores de complexidade assistencial secundária e terciária, e também da saúde privada. Em seguida, observou-se a participação de profissionais da rede intersetorial (13), com destaque para a assistência social e o poder legislativo, e de profissionais da atenção primária do SUS (12) -  gestores e agentes comunitários de saúde. A presença de usuários ou familiares de serviços de saúde mental (15) e de estudantes (2) também foi contabilizada. Os dados sugerem que, embora a ação tenha sido eficaz em alcançar profissionais da saúde e da rede intersetorial, é imprescindível o desenvolvimento de estratégias mais abrangentes para envolver outros atores sociais, como a comunidade em geral, e assim ampliar o alcance da iniciativa de divulgação da RAPS.</w:t>
      </w:r>
    </w:p>
    <w:p w:rsidR="00000000" w:rsidDel="00000000" w:rsidP="00000000" w:rsidRDefault="00000000" w:rsidRPr="00000000" w14:paraId="00000022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36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6119820" cy="3784600"/>
            <wp:effectExtent b="12700" l="12700" r="12700" t="12700"/>
            <wp:docPr descr="Gráfico" id="2" name="image4.png"/>
            <a:graphic>
              <a:graphicData uri="http://schemas.openxmlformats.org/drawingml/2006/picture">
                <pic:pic>
                  <pic:nvPicPr>
                    <pic:cNvPr descr="Gráfico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7846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Gráfico 3: tipo de vínculo com os equipamentos visitados</w:t>
      </w:r>
    </w:p>
    <w:p w:rsidR="00000000" w:rsidDel="00000000" w:rsidP="00000000" w:rsidRDefault="00000000" w:rsidRPr="00000000" w14:paraId="00000026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avaliação da pertinência das visitas obteve um alto índice de aprovação, com 95% dos participantes indicando que as informações foram claras, úteis e contribuíram para um melhor entendimento do tema.</w:t>
      </w:r>
    </w:p>
    <w:p w:rsidR="00000000" w:rsidDel="00000000" w:rsidP="00000000" w:rsidRDefault="00000000" w:rsidRPr="00000000" w14:paraId="00000027">
      <w:pPr>
        <w:spacing w:after="280" w:before="280" w:line="360" w:lineRule="auto"/>
        <w:ind w:left="0" w:firstLine="566.929133858267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744402" cy="2929281"/>
            <wp:effectExtent b="12700" l="12700" r="12700" t="12700"/>
            <wp:docPr descr="Gráfico" id="6" name="image7.png"/>
            <a:graphic>
              <a:graphicData uri="http://schemas.openxmlformats.org/drawingml/2006/picture">
                <pic:pic>
                  <pic:nvPicPr>
                    <pic:cNvPr descr="Gráfico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4402" cy="292928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Gráfico 4: opinião dos participantes sobre as visitas guiadas</w:t>
      </w:r>
    </w:p>
    <w:p w:rsidR="00000000" w:rsidDel="00000000" w:rsidP="00000000" w:rsidRDefault="00000000" w:rsidRPr="00000000" w14:paraId="00000029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677727" cy="2888115"/>
            <wp:effectExtent b="12700" l="12700" r="12700" t="12700"/>
            <wp:docPr descr="Gráfico" id="5" name="image2.png"/>
            <a:graphic>
              <a:graphicData uri="http://schemas.openxmlformats.org/drawingml/2006/picture">
                <pic:pic>
                  <pic:nvPicPr>
                    <pic:cNvPr descr="Gráfico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7727" cy="288811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Gráfico 5: opinião dos participantes sobre as informações prestadas durante a visita.</w:t>
      </w:r>
    </w:p>
    <w:p w:rsidR="00000000" w:rsidDel="00000000" w:rsidP="00000000" w:rsidRDefault="00000000" w:rsidRPr="00000000" w14:paraId="0000002C">
      <w:pPr>
        <w:spacing w:after="280" w:before="280" w:line="36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360" w:lineRule="auto"/>
        <w:ind w:lef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fim de avaliar a percepção dos participantes sobre a importância do serviço, foi utilizada a seguinte pergunta: "Na sua opinião, como este serviço que você visitou pode contribuir para a comunidade e promover a saúde da população?". As respostas obtidas evidenciaram a centralidade de conceitos como acolhimento, cuidado, bem-estar, promoção da autonomia e inserção social.</w:t>
      </w:r>
    </w:p>
    <w:p w:rsidR="00000000" w:rsidDel="00000000" w:rsidP="00000000" w:rsidRDefault="00000000" w:rsidRPr="00000000" w14:paraId="0000002E">
      <w:pPr>
        <w:spacing w:after="280" w:before="280" w:lineRule="auto"/>
        <w:ind w:left="2160" w:firstLine="720"/>
        <w:jc w:val="both"/>
        <w:rPr>
          <w:rFonts w:ascii="Times New Roman" w:cs="Times New Roman" w:eastAsia="Times New Roman" w:hAnsi="Times New Roman"/>
          <w:color w:val="1f1f1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highlight w:val="white"/>
          <w:rtl w:val="0"/>
        </w:rPr>
        <w:t xml:space="preserve">“Esse serviço contribui muito em relação a estímulos da autonomia, na recuperação e na reintegração do sujeito em meio a atividades cotidianas e na sociedade.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” (Relato de participante obtido através de formulário)</w:t>
      </w:r>
    </w:p>
    <w:p w:rsidR="00000000" w:rsidDel="00000000" w:rsidP="00000000" w:rsidRDefault="00000000" w:rsidRPr="00000000" w14:paraId="0000002F">
      <w:pPr>
        <w:spacing w:after="280" w:before="280" w:lineRule="auto"/>
        <w:ind w:left="2160" w:firstLine="720"/>
        <w:jc w:val="both"/>
        <w:rPr>
          <w:rFonts w:ascii="Times New Roman" w:cs="Times New Roman" w:eastAsia="Times New Roman" w:hAnsi="Times New Roman"/>
          <w:color w:val="1f1f1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highlight w:val="white"/>
          <w:rtl w:val="0"/>
        </w:rPr>
        <w:t xml:space="preserve">“Contribuir para a melhoria da saúde mental dos usuários, além de promover acolhimento, inclusão, dignidade às pessoas com algum transtorno mental.”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 (Relato de participante obtido através de formulário)</w:t>
      </w:r>
    </w:p>
    <w:p w:rsidR="00000000" w:rsidDel="00000000" w:rsidP="00000000" w:rsidRDefault="00000000" w:rsidRPr="00000000" w14:paraId="00000030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  <w:color w:val="1f1f1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A pesquisa buscou compreender como os profissionais percebem o papel de seus serviços na promoção da saúde mental. A pergunta direcionada aos participantes foi: "Se você for profissional de saúde ou da rede intersetorial, de que forma acredita que seu  serviço (onde você trabalha) pode contribuir para a saúde mental e qualidade de vida da população?". As respostas evidenciaram a importância da divulgação dos serviços, do trabalho em rede e da promoção da educação em saúde. Alguns participantes destacaram a importância de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highlight w:val="white"/>
          <w:rtl w:val="0"/>
        </w:rPr>
        <w:t xml:space="preserve">promover  educação em saúde com as equipes de referência, promover o cuidado compartilhado entre os serviços, realizando ações de prevenção e promoção da saúde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” e de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highlight w:val="white"/>
          <w:rtl w:val="0"/>
        </w:rPr>
        <w:t xml:space="preserve">trabalho em rede, possibilitar construção de novas ideias, formas de atendimento resolutivo, promover o usuário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” para a promoção da saúde mental na comunidade.</w:t>
      </w:r>
    </w:p>
    <w:p w:rsidR="00000000" w:rsidDel="00000000" w:rsidP="00000000" w:rsidRDefault="00000000" w:rsidRPr="00000000" w14:paraId="00000031">
      <w:pPr>
        <w:spacing w:after="280" w:before="280" w:line="360" w:lineRule="auto"/>
        <w:ind w:lef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ab/>
        <w:t xml:space="preserve">A pesquisa buscou identificar sugestões para a melhoria dos serviços de saúde mental de Itabira. A pergunta aberta direcionada aos participantes foi: "Você tem alguma sugestão para os serviços de saúde mental de Itabira - Centro de Convivência InterAgir, CAPS InfantoJuvenil, CAPS Álcool e Drogas e CAPS Adulto - em geral?". As respostas evidenciaram a necessidade de ampliação do horário de funcionamento dos CAPS para 24 horas, maior divulgação dos serviços, aumento da frequência das visitas domiciliares e melhorias nas condições físicas dos espaços. Alguns participantes destacaram a importância de “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discussão de casos em reuniões de rede, encaminhamentos para acesso e orientação socioassistencial, mais divulgação do serviço na rede social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 e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aproximar a comunidade do Caps e assim conseguirmos quebrar as barreiras do preconceito”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 para a melhoria dos serviços.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Rule="auto"/>
        <w:ind w:left="1440" w:firstLine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“O trabalho em equipe e comunicação ao meu ponto de vista deveria ser melhor, mas cada um com sua essência tem o poder de transformar vidas.”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(Relato de participante obtido através de formulário)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Rule="auto"/>
        <w:ind w:left="1440"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“Que os serviços sejam mais divulgados como importante ponto de atenção do SUS.”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(Relato de participante obtido através de formulário)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35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Podemos concluir que os eventos podem ser uma grande ferramenta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ortalecimento da rede de atenção psicossocial, pois as visitas contribuíram para estreitar os laços entre os profissionais dos diferentes serviços, promovendo a troca de experiências e o estabelecimento de novas parcerias. Essa integração é essencial para garantir a continuidade do cuidado e a oferta de serviços de qualidade aos usuários.</w:t>
      </w:r>
    </w:p>
    <w:p w:rsidR="00000000" w:rsidDel="00000000" w:rsidP="00000000" w:rsidRDefault="00000000" w:rsidRPr="00000000" w14:paraId="00000036">
      <w:pPr>
        <w:spacing w:after="280" w:before="28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Outra potencialidade percebida foi a identificação de boas práticas. A observação das práticas desenvolvidas nos serviços permitiu identificar diversas iniciativas inovadoras e exitosas, como grupos terapêuticos, oficinas de arte e projetos de inclusão social. Essas práticas podem servir de inspiração para a implementação de novas ações em outros serviços.</w:t>
      </w:r>
    </w:p>
    <w:p w:rsidR="00000000" w:rsidDel="00000000" w:rsidP="00000000" w:rsidRDefault="00000000" w:rsidRPr="00000000" w14:paraId="00000037">
      <w:pPr>
        <w:spacing w:after="240" w:before="24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visitas proporcionaram uma oportunidade para os participantes se colocarem no lugar dos usuários, compreendendo suas necessidades e dificuldades. Essa sensibilização é fundamental para a humanização do atendimento e para a construção de serviços mais acolhedores e inclusivos.</w:t>
      </w:r>
    </w:p>
    <w:p w:rsidR="00000000" w:rsidDel="00000000" w:rsidP="00000000" w:rsidRDefault="00000000" w:rsidRPr="00000000" w14:paraId="00000038">
      <w:pPr>
        <w:spacing w:after="240" w:before="24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Também foi possível identificar os desafios enfrentados pelos serviços, como a falta de recursos, de acessibilidade, e a demanda crescente por atendimento. Ao mesmo tempo, foram indicadas diversas oportunidades para a melhoria dos serviços, como a ampliação da oferta de atividades, a implementação de novas tecnologias e o fortalecimento da parceria com a comunidade.</w:t>
      </w:r>
    </w:p>
    <w:p w:rsidR="00000000" w:rsidDel="00000000" w:rsidP="00000000" w:rsidRDefault="00000000" w:rsidRPr="00000000" w14:paraId="00000039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resultados obtidos demonstram a importância de promover atividades que possibilitem a troca de experiências e o aprendizado contínuo entre os profissionais. A oferta de visitas guiadas, combinada com estratégias de divulgação ampla, se revela como um instrumento valioso para estreitar os laços entre os diversos equipamentos da rede de saúde mental e a comunidade, contribuindo para a construção de um cuidado mais integrado e humanizado, além de  indicar ser uma estratégia eficiente de articulação da rede intersetorial.</w:t>
      </w:r>
    </w:p>
    <w:p w:rsidR="00000000" w:rsidDel="00000000" w:rsidP="00000000" w:rsidRDefault="00000000" w:rsidRPr="00000000" w14:paraId="0000003A">
      <w:pPr>
        <w:spacing w:after="280" w:before="28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80" w:before="280" w:lineRule="auto"/>
        <w:ind w:left="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ANEXOS</w:t>
      </w:r>
    </w:p>
    <w:p w:rsidR="00000000" w:rsidDel="00000000" w:rsidP="00000000" w:rsidRDefault="00000000" w:rsidRPr="00000000" w14:paraId="0000003D">
      <w:pPr>
        <w:spacing w:after="280" w:before="28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Links de publicações da rede social Instagram da Secretaria Municipal de Saúde de Itabira</w:t>
      </w:r>
    </w:p>
    <w:p w:rsidR="00000000" w:rsidDel="00000000" w:rsidP="00000000" w:rsidRDefault="00000000" w:rsidRPr="00000000" w14:paraId="0000003E">
      <w:pPr>
        <w:spacing w:after="280" w:before="28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https://www.instagram.com/reel/C7E7_cSOYAY/?igsh=MWYweWI5eGcwaGFhcg==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28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https://www.instagram.com/reel/C7CoGVdOkUk/?igsh=bzQ0bGo0emtxcDBz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https://www.instagram.com/reel/C69abrZO6IL/?igsh=MXc5amN2c2QyamNxeA==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28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6119820" cy="85852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858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before="280" w:lineRule="auto"/>
        <w:ind w:lef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6424649" cy="843057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4315" l="43021" r="24665" t="20055"/>
                    <a:stretch>
                      <a:fillRect/>
                    </a:stretch>
                  </pic:blipFill>
                  <pic:spPr>
                    <a:xfrm>
                      <a:off x="0" y="0"/>
                      <a:ext cx="6424649" cy="84305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before="28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40" w:lineRule="auto"/>
        <w:ind w:left="2120" w:firstLine="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reel/C7E7_cSOYAY/?igsh=MWYweWI5eGcwaGFhcg==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www.instagram.com/reel/C69abrZO6IL/?igsh=MXc5amN2c2QyamNxeA==" TargetMode="External"/><Relationship Id="rId12" Type="http://schemas.openxmlformats.org/officeDocument/2006/relationships/hyperlink" Target="https://www.instagram.com/reel/C7CoGVdOkUk/?igsh=bzQ0bGo0emtxcDB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3.png"/><Relationship Id="rId14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