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1B824" w14:textId="77777777" w:rsidR="00B74F13" w:rsidRDefault="00B74F13" w:rsidP="00B74F13">
      <w:pPr>
        <w:ind w:left="0" w:firstLine="0"/>
      </w:pPr>
    </w:p>
    <w:p w14:paraId="79A3C6D7" w14:textId="789C94EE" w:rsidR="0018054B" w:rsidRDefault="00B74F13" w:rsidP="001D1B58">
      <w:r>
        <w:t>Essa é a experiência d</w:t>
      </w:r>
      <w:r w:rsidR="00364352">
        <w:t>e</w:t>
      </w:r>
      <w:r w:rsidR="00E23B4C">
        <w:t xml:space="preserve"> criar</w:t>
      </w:r>
      <w:r>
        <w:t xml:space="preserve"> o </w:t>
      </w:r>
      <w:r w:rsidR="0018054B">
        <w:t>fluxograma</w:t>
      </w:r>
      <w:r w:rsidR="00023FC7">
        <w:t xml:space="preserve"> de atendimento da</w:t>
      </w:r>
      <w:r>
        <w:t xml:space="preserve"> Rede de Saúde, em</w:t>
      </w:r>
      <w:bookmarkStart w:id="0" w:name="_GoBack"/>
      <w:bookmarkEnd w:id="0"/>
      <w:r w:rsidR="000A3333">
        <w:t xml:space="preserve"> </w:t>
      </w:r>
      <w:r w:rsidR="0018054B">
        <w:t>Primavera do Leste – MT</w:t>
      </w:r>
      <w:r>
        <w:t>,</w:t>
      </w:r>
      <w:proofErr w:type="gramStart"/>
      <w:r>
        <w:t xml:space="preserve"> </w:t>
      </w:r>
      <w:r w:rsidR="0018054B">
        <w:t xml:space="preserve"> </w:t>
      </w:r>
      <w:proofErr w:type="gramEnd"/>
      <w:r>
        <w:t xml:space="preserve">para </w:t>
      </w:r>
      <w:r w:rsidR="0018054B">
        <w:t>o Transtorno do Espectro Autismo – TEA.</w:t>
      </w:r>
    </w:p>
    <w:p w14:paraId="5C029CE4" w14:textId="46B85F1B" w:rsidR="00981B34" w:rsidRDefault="00E5424E" w:rsidP="00981B34">
      <w:pPr>
        <w:ind w:left="0" w:firstLine="0"/>
      </w:pPr>
      <w:r>
        <w:tab/>
      </w:r>
      <w:r w:rsidR="00B74F13">
        <w:t>Entender</w:t>
      </w:r>
      <w:r w:rsidR="00792141">
        <w:t xml:space="preserve"> a orga</w:t>
      </w:r>
      <w:r w:rsidR="00B74F13">
        <w:t>n</w:t>
      </w:r>
      <w:r w:rsidR="00981B34">
        <w:t>ização dos serviços de saúde é</w:t>
      </w:r>
      <w:r w:rsidR="00B74F13">
        <w:t xml:space="preserve"> </w:t>
      </w:r>
      <w:r w:rsidR="00792141">
        <w:t xml:space="preserve">essencial para melhorar o acesso e direcionar ações locais que promovam a qualidade de vida e garantam os direitos das pessoas com </w:t>
      </w:r>
      <w:r w:rsidR="00034AFC">
        <w:t>TEA</w:t>
      </w:r>
      <w:r w:rsidR="00792141">
        <w:t xml:space="preserve">. Este projeto surgiu da necessidade urgente de criar um fluxo de atendimento e </w:t>
      </w:r>
      <w:proofErr w:type="gramStart"/>
      <w:r w:rsidR="00792141">
        <w:t>otimizar</w:t>
      </w:r>
      <w:proofErr w:type="gramEnd"/>
      <w:r w:rsidR="00792141">
        <w:t xml:space="preserve"> os serviços para atender às necessidades relacionadas ao TEA no municí</w:t>
      </w:r>
      <w:r w:rsidR="001D1B58">
        <w:t xml:space="preserve">pio </w:t>
      </w:r>
      <w:r w:rsidR="00364352">
        <w:t xml:space="preserve">solicitado pelo </w:t>
      </w:r>
      <w:r w:rsidR="000A3333">
        <w:t>Ministério</w:t>
      </w:r>
      <w:r w:rsidR="00364352">
        <w:t xml:space="preserve"> Publico.</w:t>
      </w:r>
    </w:p>
    <w:p w14:paraId="2966620B" w14:textId="6A560DBD" w:rsidR="0043066C" w:rsidRDefault="00CC302A" w:rsidP="00364352">
      <w:r>
        <w:t>A</w:t>
      </w:r>
      <w:r w:rsidR="00792141">
        <w:t xml:space="preserve"> iniciativa po</w:t>
      </w:r>
      <w:r w:rsidR="00364352">
        <w:t>de servir como um instrumento para</w:t>
      </w:r>
      <w:r w:rsidR="00792141">
        <w:t xml:space="preserve"> pr</w:t>
      </w:r>
      <w:r w:rsidR="00034AFC">
        <w:t xml:space="preserve">omoção da saúde, </w:t>
      </w:r>
      <w:r>
        <w:t xml:space="preserve">fortalecer </w:t>
      </w:r>
      <w:r w:rsidR="00792141">
        <w:t>o Sistema Único de Saúde (SUS) e da intersetorialidade da Rede. Foi um projeto de intervenção piloto</w:t>
      </w:r>
      <w:r>
        <w:t xml:space="preserve">, como </w:t>
      </w:r>
      <w:r w:rsidR="00792141">
        <w:t xml:space="preserve">conclusão de especialização </w:t>
      </w:r>
      <w:r>
        <w:t>da Escola de Saúde Publica – MT. Ele evidenciou a necessidade da</w:t>
      </w:r>
      <w:r w:rsidR="00792141">
        <w:t xml:space="preserve"> participação de diversos setores da administração Pública na atenção à saúde</w:t>
      </w:r>
      <w:r>
        <w:t xml:space="preserve"> das pessoas com TEA, destacou-se</w:t>
      </w:r>
      <w:r w:rsidR="00792141">
        <w:t xml:space="preserve"> a importância da articulação e, principalmente, da atuação da Rede de Atenção Psicossocial (RAPS) </w:t>
      </w:r>
      <w:r w:rsidR="00981B34" w:rsidRPr="00981B34">
        <w:t>para integrar</w:t>
      </w:r>
      <w:r w:rsidR="00640778">
        <w:t>, discutir, planejar</w:t>
      </w:r>
      <w:r w:rsidR="00981B34" w:rsidRPr="00981B34">
        <w:t xml:space="preserve"> e desenvol</w:t>
      </w:r>
      <w:r w:rsidR="00E23B4C">
        <w:t>ver uma rede de saúde eficiente por meio das discussões em reuniões e resolução de problemas de acordo com as demandas da Rede, visualizando as necessidades urgentes e aprimorando os recursos disponíveis como educação permanente de alguns setor</w:t>
      </w:r>
      <w:r w:rsidR="00F5124D">
        <w:t>es, Simpósio de Saúde Mental e conscientização sobre o TEA.</w:t>
      </w:r>
    </w:p>
    <w:p w14:paraId="569DF002" w14:textId="5636E7A8" w:rsidR="00361FE9" w:rsidRDefault="00364352" w:rsidP="00364352">
      <w:pPr>
        <w:ind w:left="0" w:firstLine="0"/>
      </w:pPr>
      <w:r>
        <w:tab/>
      </w:r>
      <w:r w:rsidR="00361FE9" w:rsidRPr="00361FE9">
        <w:t>A falta de um fluxo de atendimento claro dificultava a estruturação e ações para melhorar a Rede de Saúde. Além disso, a jornada das famílias em busca de atendimento era desconexa. Usamos a metodologia 5W3H e organizamos reuniões com gestores da Secretaria Municipal de Saúde. Começamos a construir o fluxograma, visualizando a organização da Rede de Saúde e o potencial de cada setor (Coordenadores Atenção Básica, Saúde Bucal, Assessoria Jurídica, Recur</w:t>
      </w:r>
      <w:r w:rsidR="00361FE9">
        <w:t>sos Humanos, Licitação, UDRGPP)</w:t>
      </w:r>
      <w:r w:rsidR="00361FE9" w:rsidRPr="00361FE9">
        <w:t xml:space="preserve">. A </w:t>
      </w:r>
      <w:proofErr w:type="spellStart"/>
      <w:r w:rsidR="00361FE9" w:rsidRPr="00361FE9">
        <w:t>intersetorialidade</w:t>
      </w:r>
      <w:proofErr w:type="spellEnd"/>
      <w:r w:rsidR="00361FE9" w:rsidRPr="00361FE9">
        <w:t xml:space="preserve"> foi essencial para resolver problemas imediatos.</w:t>
      </w:r>
    </w:p>
    <w:p w14:paraId="4AE76F9D" w14:textId="113908E3" w:rsidR="00361FE9" w:rsidRDefault="00364352" w:rsidP="00364352">
      <w:pPr>
        <w:ind w:left="0" w:firstLine="0"/>
      </w:pPr>
      <w:r>
        <w:tab/>
      </w:r>
      <w:r w:rsidR="00361FE9" w:rsidRPr="00361FE9">
        <w:t xml:space="preserve">Outro fator importante foi </w:t>
      </w:r>
      <w:proofErr w:type="gramStart"/>
      <w:r w:rsidR="00361FE9" w:rsidRPr="00361FE9">
        <w:t>a</w:t>
      </w:r>
      <w:proofErr w:type="gramEnd"/>
      <w:r w:rsidR="00361FE9" w:rsidRPr="00361FE9">
        <w:t xml:space="preserve"> contribuição da Escola de Saúde Pública de Mato Grosso, com a Especialização em Atenção à Saúde da Pessoa com TEA. Minha participação nessa especialização melhorou a </w:t>
      </w:r>
      <w:proofErr w:type="gramStart"/>
      <w:r w:rsidR="00361FE9" w:rsidRPr="00361FE9">
        <w:t>implementação</w:t>
      </w:r>
      <w:proofErr w:type="gramEnd"/>
      <w:r w:rsidR="00361FE9" w:rsidRPr="00361FE9">
        <w:t xml:space="preserve"> e construção do fluxo de atendimento e a ampliação da Rede de Saúde municipal. O projeto do Ministério Público - MT para adquirir novos bens necessários ao funcionamento eficiente da Unidade Desce</w:t>
      </w:r>
      <w:r w:rsidR="006C2462">
        <w:t xml:space="preserve">ntralizada de Reabilitação </w:t>
      </w:r>
      <w:proofErr w:type="spellStart"/>
      <w:r w:rsidR="006C2462">
        <w:t>Gervá</w:t>
      </w:r>
      <w:r w:rsidR="00361FE9" w:rsidRPr="00361FE9">
        <w:t>sio</w:t>
      </w:r>
      <w:proofErr w:type="spellEnd"/>
      <w:r w:rsidR="00361FE9" w:rsidRPr="00361FE9">
        <w:t xml:space="preserve"> Pereira</w:t>
      </w:r>
      <w:r w:rsidR="006C2462" w:rsidRPr="006C2462">
        <w:t xml:space="preserve"> Pinto</w:t>
      </w:r>
      <w:r w:rsidR="00361FE9" w:rsidRPr="00361FE9">
        <w:t xml:space="preserve"> (UDRGPP) foi uma </w:t>
      </w:r>
      <w:r w:rsidR="00361FE9" w:rsidRPr="00361FE9">
        <w:lastRenderedPageBreak/>
        <w:t xml:space="preserve">articulação </w:t>
      </w:r>
      <w:proofErr w:type="spellStart"/>
      <w:r w:rsidR="00361FE9" w:rsidRPr="00361FE9">
        <w:t>intersetorial</w:t>
      </w:r>
      <w:proofErr w:type="spellEnd"/>
      <w:r w:rsidR="00361FE9" w:rsidRPr="00361FE9">
        <w:t xml:space="preserve"> relevante. Outra colaboração foi o Sindicato Rural e SENAR na ampliação do serviço de </w:t>
      </w:r>
      <w:proofErr w:type="spellStart"/>
      <w:r w:rsidR="00361FE9" w:rsidRPr="00361FE9">
        <w:t>equoterapia</w:t>
      </w:r>
      <w:proofErr w:type="spellEnd"/>
      <w:r w:rsidR="00361FE9" w:rsidRPr="00361FE9">
        <w:t>.</w:t>
      </w:r>
    </w:p>
    <w:p w14:paraId="6F9E860C" w14:textId="036AE17D" w:rsidR="009E0658" w:rsidRDefault="00361FE9" w:rsidP="00361FE9">
      <w:pPr>
        <w:ind w:left="0" w:firstLine="0"/>
      </w:pPr>
      <w:r>
        <w:tab/>
      </w:r>
      <w:r w:rsidR="003A6114">
        <w:t>Os resultados alçados</w:t>
      </w:r>
      <w:r w:rsidR="009E0658">
        <w:t>:</w:t>
      </w:r>
    </w:p>
    <w:p w14:paraId="2F897C10" w14:textId="77777777" w:rsidR="009E0658" w:rsidRDefault="003F09FB" w:rsidP="003F09FB">
      <w:pPr>
        <w:pStyle w:val="PargrafodaLista"/>
        <w:numPr>
          <w:ilvl w:val="0"/>
          <w:numId w:val="1"/>
        </w:numPr>
      </w:pPr>
      <w:r>
        <w:t>A criação do fluxograma baseado na Rede de Saúde Local</w:t>
      </w:r>
    </w:p>
    <w:p w14:paraId="48693579" w14:textId="77777777" w:rsidR="00885C9B" w:rsidRDefault="009E0658" w:rsidP="00C54766">
      <w:r>
        <w:rPr>
          <w:noProof/>
          <w:lang w:eastAsia="pt-BR"/>
        </w:rPr>
        <w:drawing>
          <wp:inline distT="0" distB="0" distL="0" distR="0" wp14:anchorId="38B25B84" wp14:editId="2D6D9BBD">
            <wp:extent cx="5157470" cy="6986905"/>
            <wp:effectExtent l="0" t="0" r="508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698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BA293" w14:textId="41251CAE" w:rsidR="003A6114" w:rsidRDefault="004E6AB5" w:rsidP="002129F8">
      <w:r>
        <w:rPr>
          <w:noProof/>
          <w:lang w:eastAsia="pt-BR"/>
        </w:rPr>
        <w:lastRenderedPageBreak/>
        <w:drawing>
          <wp:inline distT="0" distB="0" distL="0" distR="0" wp14:anchorId="60FC71C2" wp14:editId="4FA4FFFC">
            <wp:extent cx="5572125" cy="299974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7615E" w14:textId="60469550" w:rsidR="003A6114" w:rsidRDefault="003A6114" w:rsidP="003A6114">
      <w:pPr>
        <w:pStyle w:val="PargrafodaLista"/>
        <w:numPr>
          <w:ilvl w:val="0"/>
          <w:numId w:val="1"/>
        </w:numPr>
      </w:pPr>
      <w:r>
        <w:t>Desde o início do fluxograma, identificamos a lista de espera para TEA e sinais de alerta.</w:t>
      </w:r>
    </w:p>
    <w:p w14:paraId="4D273F66" w14:textId="2038CD33" w:rsidR="003A6114" w:rsidRDefault="003A6114" w:rsidP="003A6114">
      <w:pPr>
        <w:pStyle w:val="PargrafodaLista"/>
        <w:numPr>
          <w:ilvl w:val="0"/>
          <w:numId w:val="1"/>
        </w:numPr>
      </w:pPr>
      <w:r>
        <w:t>Realizamos mais de 160 acolhimentos biopsicossociais desde outubro de 2022.</w:t>
      </w:r>
    </w:p>
    <w:p w14:paraId="56EE269A" w14:textId="43093DDB" w:rsidR="003A6114" w:rsidRDefault="003A6114" w:rsidP="000B4F05">
      <w:pPr>
        <w:pStyle w:val="PargrafodaLista"/>
        <w:numPr>
          <w:ilvl w:val="0"/>
          <w:numId w:val="1"/>
        </w:numPr>
      </w:pPr>
      <w:r>
        <w:t>A rotina de coleta de dados é relevante para políticas públicas e mostra a fragilidade da Rede.</w:t>
      </w:r>
    </w:p>
    <w:p w14:paraId="3FF1CE13" w14:textId="4DE49DAB" w:rsidR="003A6114" w:rsidRDefault="003A6114" w:rsidP="002129F8">
      <w:pPr>
        <w:pStyle w:val="PargrafodaLista"/>
        <w:numPr>
          <w:ilvl w:val="0"/>
          <w:numId w:val="1"/>
        </w:numPr>
      </w:pPr>
      <w:r>
        <w:t xml:space="preserve">   </w:t>
      </w:r>
      <w:r w:rsidRPr="003A6114">
        <w:t>A inclusão da demanda do TEA nas reuniões da RAPS foi essencial para fortalecer ações e melhorias. A RAPS é crucial para concretizar essas ações. Sem a participação em Rede, não haveria avanç</w:t>
      </w:r>
      <w:r>
        <w:t>os no apoio aos desafios do SUS</w:t>
      </w:r>
      <w:r w:rsidR="00F124CE">
        <w:t>.</w:t>
      </w:r>
    </w:p>
    <w:p w14:paraId="2752219E" w14:textId="03107B60" w:rsidR="002129F8" w:rsidRDefault="000B4F05" w:rsidP="002129F8">
      <w:pPr>
        <w:ind w:left="1239" w:firstLine="0"/>
      </w:pPr>
      <w:r>
        <w:t xml:space="preserve">A experiência desse projeto mostra que é possível organizar um serviço, independente do tamanho da Rede. </w:t>
      </w:r>
      <w:r w:rsidR="002129F8">
        <w:t xml:space="preserve">São </w:t>
      </w:r>
      <w:r w:rsidR="00364352">
        <w:t>possíveis as mudanças consolidadas e os desafios de curto, médio</w:t>
      </w:r>
      <w:r w:rsidR="002129F8">
        <w:t xml:space="preserve"> </w:t>
      </w:r>
      <w:r w:rsidR="00364352">
        <w:t>e longo</w:t>
      </w:r>
      <w:r w:rsidR="002129F8">
        <w:t xml:space="preserve"> prazo.</w:t>
      </w:r>
    </w:p>
    <w:p w14:paraId="30010D51" w14:textId="60D8B48F" w:rsidR="002129F8" w:rsidRPr="00364352" w:rsidRDefault="002129F8" w:rsidP="00364352">
      <w:pPr>
        <w:rPr>
          <w:b/>
          <w:i/>
        </w:rPr>
      </w:pPr>
      <w:r w:rsidRPr="00364352">
        <w:rPr>
          <w:b/>
          <w:i/>
        </w:rPr>
        <w:t>Mudanças a partir do fluxograma:</w:t>
      </w:r>
    </w:p>
    <w:p w14:paraId="50B27C91" w14:textId="3CAE518A" w:rsidR="002129F8" w:rsidRDefault="002129F8" w:rsidP="002129F8">
      <w:pPr>
        <w:pStyle w:val="PargrafodaLista"/>
        <w:numPr>
          <w:ilvl w:val="0"/>
          <w:numId w:val="6"/>
        </w:numPr>
      </w:pPr>
      <w:r>
        <w:t></w:t>
      </w:r>
      <w:r>
        <w:tab/>
        <w:t xml:space="preserve">Reforma da Unidade Descentralizada de Reabilitação </w:t>
      </w:r>
      <w:proofErr w:type="spellStart"/>
      <w:r>
        <w:t>Gervásio</w:t>
      </w:r>
      <w:proofErr w:type="spellEnd"/>
      <w:r>
        <w:t xml:space="preserve"> Pinto Pereira (UDRGPP).</w:t>
      </w:r>
    </w:p>
    <w:p w14:paraId="40AD9EBA" w14:textId="7EADAA85" w:rsidR="002129F8" w:rsidRDefault="002129F8" w:rsidP="002129F8">
      <w:pPr>
        <w:pStyle w:val="PargrafodaLista"/>
        <w:numPr>
          <w:ilvl w:val="0"/>
          <w:numId w:val="6"/>
        </w:numPr>
      </w:pPr>
      <w:r>
        <w:t></w:t>
      </w:r>
      <w:r>
        <w:tab/>
        <w:t>Contratação de Terapia Ocupacional por licitação.</w:t>
      </w:r>
    </w:p>
    <w:p w14:paraId="5A49A85A" w14:textId="3242ACCF" w:rsidR="002129F8" w:rsidRDefault="002129F8" w:rsidP="002129F8">
      <w:pPr>
        <w:pStyle w:val="PargrafodaLista"/>
        <w:numPr>
          <w:ilvl w:val="0"/>
          <w:numId w:val="6"/>
        </w:numPr>
      </w:pPr>
      <w:r>
        <w:t></w:t>
      </w:r>
      <w:r>
        <w:tab/>
        <w:t xml:space="preserve">Ampliação de profissionais e vagas de </w:t>
      </w:r>
      <w:proofErr w:type="spellStart"/>
      <w:r>
        <w:t>equoterapia</w:t>
      </w:r>
      <w:proofErr w:type="spellEnd"/>
      <w:r>
        <w:t>.</w:t>
      </w:r>
      <w:proofErr w:type="gramStart"/>
      <w:r>
        <w:tab/>
      </w:r>
      <w:proofErr w:type="gramEnd"/>
    </w:p>
    <w:p w14:paraId="1AE46B7C" w14:textId="56CC7337" w:rsidR="002129F8" w:rsidRDefault="002129F8" w:rsidP="002129F8">
      <w:pPr>
        <w:pStyle w:val="PargrafodaLista"/>
        <w:numPr>
          <w:ilvl w:val="0"/>
          <w:numId w:val="6"/>
        </w:numPr>
      </w:pPr>
      <w:r>
        <w:t></w:t>
      </w:r>
      <w:r>
        <w:tab/>
        <w:t>Justificativa técnica para pleitear CER II.</w:t>
      </w:r>
    </w:p>
    <w:p w14:paraId="4B6C96A9" w14:textId="77777777" w:rsidR="002129F8" w:rsidRDefault="002129F8" w:rsidP="002129F8"/>
    <w:p w14:paraId="1FDCBA72" w14:textId="77777777" w:rsidR="002129F8" w:rsidRDefault="002129F8" w:rsidP="002129F8"/>
    <w:p w14:paraId="71E97436" w14:textId="77777777" w:rsidR="002129F8" w:rsidRDefault="002129F8" w:rsidP="002129F8"/>
    <w:p w14:paraId="7123BCB7" w14:textId="25EDBFFA" w:rsidR="000B4F05" w:rsidRPr="00364352" w:rsidRDefault="000B4F05" w:rsidP="000B4F05">
      <w:pPr>
        <w:pStyle w:val="PargrafodaLista"/>
        <w:ind w:left="1599" w:firstLine="0"/>
        <w:rPr>
          <w:b/>
          <w:i/>
        </w:rPr>
      </w:pPr>
      <w:r w:rsidRPr="00364352">
        <w:rPr>
          <w:b/>
          <w:i/>
        </w:rPr>
        <w:lastRenderedPageBreak/>
        <w:t>Desafios</w:t>
      </w:r>
      <w:r w:rsidR="002129F8" w:rsidRPr="00364352">
        <w:rPr>
          <w:b/>
          <w:i/>
        </w:rPr>
        <w:t xml:space="preserve"> observados</w:t>
      </w:r>
      <w:r w:rsidR="00364352">
        <w:rPr>
          <w:b/>
          <w:i/>
        </w:rPr>
        <w:t xml:space="preserve"> após o fluxograma</w:t>
      </w:r>
      <w:r w:rsidRPr="00364352">
        <w:rPr>
          <w:b/>
          <w:i/>
        </w:rPr>
        <w:t>:</w:t>
      </w:r>
    </w:p>
    <w:p w14:paraId="5EB6FA5E" w14:textId="1A812260" w:rsidR="00364352" w:rsidRDefault="00364352" w:rsidP="00364352">
      <w:pPr>
        <w:pStyle w:val="PargrafodaLista"/>
        <w:numPr>
          <w:ilvl w:val="0"/>
          <w:numId w:val="7"/>
        </w:numPr>
      </w:pPr>
      <w:r>
        <w:t>Ampliar o número de profissionais: Precisamos de mais profissionais para atender às demandas do TEA.</w:t>
      </w:r>
    </w:p>
    <w:p w14:paraId="7080783F" w14:textId="2B08B5EE" w:rsidR="00364352" w:rsidRDefault="00364352" w:rsidP="00364352">
      <w:pPr>
        <w:pStyle w:val="PargrafodaLista"/>
        <w:numPr>
          <w:ilvl w:val="0"/>
          <w:numId w:val="7"/>
        </w:numPr>
      </w:pPr>
      <w:r>
        <w:t>Formação de profissionais qualificados: É essencial ter profissionais bem formados desde a graduação. Existem muitos cursos sobre TEA, mas sem fiscalização e regulamentação adequada. Além disso, faltam pesquisas com dados brasileiros sobre TEA.</w:t>
      </w:r>
    </w:p>
    <w:p w14:paraId="7D37004E" w14:textId="3E6491E5" w:rsidR="00364352" w:rsidRDefault="00364352" w:rsidP="00364352">
      <w:pPr>
        <w:pStyle w:val="PargrafodaLista"/>
        <w:numPr>
          <w:ilvl w:val="0"/>
          <w:numId w:val="7"/>
        </w:numPr>
      </w:pPr>
      <w:r>
        <w:t>Conhecimento e diagnóstico: A Rede local enfrenta desafios urgentes para aprimorar o conhecimento sobre TEA, a avaliação clínica e seguir os critérios de diagnóstico.</w:t>
      </w:r>
    </w:p>
    <w:p w14:paraId="07A218BB" w14:textId="3E35B832" w:rsidR="00364352" w:rsidRDefault="00364352" w:rsidP="00364352">
      <w:pPr>
        <w:pStyle w:val="PargrafodaLista"/>
        <w:numPr>
          <w:ilvl w:val="0"/>
          <w:numId w:val="7"/>
        </w:numPr>
      </w:pPr>
      <w:r>
        <w:t>Políticas públicas: Ampliar políticas públicas é indispensável. A participação de vários setores (Federal, Estadual, Municipal) ajudará a reduzir a elitização do tratamento e garantir a integralidade da pessoa com deficiência.</w:t>
      </w:r>
    </w:p>
    <w:p w14:paraId="18A7E04F" w14:textId="59FEACD4" w:rsidR="00364352" w:rsidRDefault="00364352" w:rsidP="00034AFC">
      <w:pPr>
        <w:pStyle w:val="PargrafodaLista"/>
        <w:numPr>
          <w:ilvl w:val="0"/>
          <w:numId w:val="7"/>
        </w:numPr>
      </w:pPr>
      <w:r>
        <w:t>Complexidade do SUS: Observamos a complexidade e vulnerabilidade do SUS. Precisamos resgatar conceitos básicos para cumprir os princípios de universalidade, equidade e integralidade.</w:t>
      </w:r>
    </w:p>
    <w:p w14:paraId="037A9418" w14:textId="3E59B751" w:rsidR="00364352" w:rsidRDefault="00364352" w:rsidP="00034AFC">
      <w:pPr>
        <w:pStyle w:val="PargrafodaLista"/>
        <w:numPr>
          <w:ilvl w:val="0"/>
          <w:numId w:val="7"/>
        </w:numPr>
      </w:pPr>
      <w:r>
        <w:t xml:space="preserve">Informações erradas: Há muitas informações erradas sobre TEA, com termos pejorativos que não atendem aos critérios. Isso leva ao </w:t>
      </w:r>
      <w:proofErr w:type="spellStart"/>
      <w:r>
        <w:t>capacitismo</w:t>
      </w:r>
      <w:proofErr w:type="spellEnd"/>
      <w:r>
        <w:t xml:space="preserve"> e falta de discussão sobre respeito à </w:t>
      </w:r>
      <w:proofErr w:type="spellStart"/>
      <w:r>
        <w:t>neurodivergência</w:t>
      </w:r>
      <w:proofErr w:type="spellEnd"/>
      <w:r>
        <w:t xml:space="preserve"> e </w:t>
      </w:r>
      <w:proofErr w:type="spellStart"/>
      <w:r>
        <w:t>neurodiversidade</w:t>
      </w:r>
      <w:proofErr w:type="spellEnd"/>
      <w:r>
        <w:t>.</w:t>
      </w:r>
    </w:p>
    <w:p w14:paraId="109004F5" w14:textId="77777777" w:rsidR="00364352" w:rsidRDefault="00364352" w:rsidP="00034AFC">
      <w:pPr>
        <w:pStyle w:val="PargrafodaLista"/>
        <w:numPr>
          <w:ilvl w:val="0"/>
          <w:numId w:val="7"/>
        </w:numPr>
      </w:pPr>
      <w:r>
        <w:t>Influências locais: Fatores econômicos, culturais e sociais locais afetam a melhoria do SUS.</w:t>
      </w:r>
    </w:p>
    <w:p w14:paraId="30369301" w14:textId="6601CC57" w:rsidR="00580E07" w:rsidRPr="00180EA2" w:rsidRDefault="00580E07" w:rsidP="00180EA2">
      <w:pPr>
        <w:rPr>
          <w:sz w:val="20"/>
          <w:szCs w:val="20"/>
        </w:rPr>
      </w:pPr>
    </w:p>
    <w:sectPr w:rsidR="00580E07" w:rsidRPr="00180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D3D01" w14:textId="77777777" w:rsidR="00E832AF" w:rsidRDefault="00E832AF" w:rsidP="00180EA2">
      <w:pPr>
        <w:spacing w:line="240" w:lineRule="auto"/>
      </w:pPr>
      <w:r>
        <w:separator/>
      </w:r>
    </w:p>
  </w:endnote>
  <w:endnote w:type="continuationSeparator" w:id="0">
    <w:p w14:paraId="372787D4" w14:textId="77777777" w:rsidR="00E832AF" w:rsidRDefault="00E832AF" w:rsidP="0018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AA6F0" w14:textId="77777777" w:rsidR="00E832AF" w:rsidRDefault="00E832AF" w:rsidP="00180EA2">
      <w:pPr>
        <w:spacing w:line="240" w:lineRule="auto"/>
      </w:pPr>
      <w:r>
        <w:separator/>
      </w:r>
    </w:p>
  </w:footnote>
  <w:footnote w:type="continuationSeparator" w:id="0">
    <w:p w14:paraId="6DB35829" w14:textId="77777777" w:rsidR="00E832AF" w:rsidRDefault="00E832AF" w:rsidP="0018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530"/>
    <w:multiLevelType w:val="hybridMultilevel"/>
    <w:tmpl w:val="61A6ADA0"/>
    <w:lvl w:ilvl="0" w:tplc="0416000B">
      <w:start w:val="1"/>
      <w:numFmt w:val="bullet"/>
      <w:lvlText w:val=""/>
      <w:lvlJc w:val="left"/>
      <w:pPr>
        <w:ind w:left="15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">
    <w:nsid w:val="08456D2D"/>
    <w:multiLevelType w:val="hybridMultilevel"/>
    <w:tmpl w:val="2E143E76"/>
    <w:lvl w:ilvl="0" w:tplc="0416000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2">
    <w:nsid w:val="1A6B4276"/>
    <w:multiLevelType w:val="hybridMultilevel"/>
    <w:tmpl w:val="553C6EB2"/>
    <w:lvl w:ilvl="0" w:tplc="0416000B">
      <w:start w:val="1"/>
      <w:numFmt w:val="bullet"/>
      <w:lvlText w:val=""/>
      <w:lvlJc w:val="left"/>
      <w:pPr>
        <w:ind w:left="201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>
    <w:nsid w:val="266A6832"/>
    <w:multiLevelType w:val="hybridMultilevel"/>
    <w:tmpl w:val="345AD292"/>
    <w:lvl w:ilvl="0" w:tplc="04160009">
      <w:start w:val="1"/>
      <w:numFmt w:val="bullet"/>
      <w:lvlText w:val=""/>
      <w:lvlJc w:val="left"/>
      <w:pPr>
        <w:ind w:left="195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4">
    <w:nsid w:val="2EAB1B23"/>
    <w:multiLevelType w:val="hybridMultilevel"/>
    <w:tmpl w:val="34D0733A"/>
    <w:lvl w:ilvl="0" w:tplc="04160009">
      <w:start w:val="1"/>
      <w:numFmt w:val="bullet"/>
      <w:lvlText w:val=""/>
      <w:lvlJc w:val="left"/>
      <w:pPr>
        <w:ind w:left="231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5">
    <w:nsid w:val="4BAF33ED"/>
    <w:multiLevelType w:val="hybridMultilevel"/>
    <w:tmpl w:val="B5AAD07E"/>
    <w:lvl w:ilvl="0" w:tplc="0416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6">
    <w:nsid w:val="70151F71"/>
    <w:multiLevelType w:val="hybridMultilevel"/>
    <w:tmpl w:val="D4F8BDB6"/>
    <w:lvl w:ilvl="0" w:tplc="04160009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41"/>
    <w:rsid w:val="00023FC7"/>
    <w:rsid w:val="0002459A"/>
    <w:rsid w:val="00034AFC"/>
    <w:rsid w:val="000410F3"/>
    <w:rsid w:val="000A3333"/>
    <w:rsid w:val="000B107C"/>
    <w:rsid w:val="000B4F05"/>
    <w:rsid w:val="0018054B"/>
    <w:rsid w:val="00180EA2"/>
    <w:rsid w:val="001A59E6"/>
    <w:rsid w:val="001D1B58"/>
    <w:rsid w:val="00211744"/>
    <w:rsid w:val="002129F8"/>
    <w:rsid w:val="0034300F"/>
    <w:rsid w:val="00361FE9"/>
    <w:rsid w:val="00364352"/>
    <w:rsid w:val="003719C1"/>
    <w:rsid w:val="003A6114"/>
    <w:rsid w:val="003E689C"/>
    <w:rsid w:val="003F09FB"/>
    <w:rsid w:val="00421DB1"/>
    <w:rsid w:val="0043066C"/>
    <w:rsid w:val="004845E7"/>
    <w:rsid w:val="004E4E7E"/>
    <w:rsid w:val="004E6AB5"/>
    <w:rsid w:val="00580E07"/>
    <w:rsid w:val="005F66C5"/>
    <w:rsid w:val="00622832"/>
    <w:rsid w:val="00640778"/>
    <w:rsid w:val="00642951"/>
    <w:rsid w:val="006C2462"/>
    <w:rsid w:val="006C5EB9"/>
    <w:rsid w:val="00726F55"/>
    <w:rsid w:val="00757A05"/>
    <w:rsid w:val="00792141"/>
    <w:rsid w:val="00802324"/>
    <w:rsid w:val="00830C04"/>
    <w:rsid w:val="00885C9B"/>
    <w:rsid w:val="008A6A79"/>
    <w:rsid w:val="00972E4A"/>
    <w:rsid w:val="00981B34"/>
    <w:rsid w:val="009E0658"/>
    <w:rsid w:val="00B41B17"/>
    <w:rsid w:val="00B6242C"/>
    <w:rsid w:val="00B74F13"/>
    <w:rsid w:val="00BA4DFC"/>
    <w:rsid w:val="00C51DCC"/>
    <w:rsid w:val="00C54766"/>
    <w:rsid w:val="00CC302A"/>
    <w:rsid w:val="00CC774C"/>
    <w:rsid w:val="00CF3492"/>
    <w:rsid w:val="00DA4FA9"/>
    <w:rsid w:val="00E22397"/>
    <w:rsid w:val="00E23B4C"/>
    <w:rsid w:val="00E5424E"/>
    <w:rsid w:val="00E832AF"/>
    <w:rsid w:val="00EE15B4"/>
    <w:rsid w:val="00F124CE"/>
    <w:rsid w:val="00F5124D"/>
    <w:rsid w:val="00F8709B"/>
    <w:rsid w:val="00FA0861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3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rsid w:val="0034300F"/>
    <w:pPr>
      <w:tabs>
        <w:tab w:val="left" w:pos="709"/>
      </w:tabs>
      <w:spacing w:after="0" w:line="360" w:lineRule="auto"/>
      <w:ind w:left="170" w:right="170"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09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EA2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EA2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80EA2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EA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bnt"/>
    <w:rsid w:val="0034300F"/>
    <w:pPr>
      <w:tabs>
        <w:tab w:val="left" w:pos="709"/>
      </w:tabs>
      <w:spacing w:after="0" w:line="360" w:lineRule="auto"/>
      <w:ind w:left="170" w:right="170"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6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65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09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80EA2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EA2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80EA2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EA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leiza pina</dc:creator>
  <cp:lastModifiedBy>leiza pina</cp:lastModifiedBy>
  <cp:revision>6</cp:revision>
  <dcterms:created xsi:type="dcterms:W3CDTF">2024-11-15T17:55:00Z</dcterms:created>
  <dcterms:modified xsi:type="dcterms:W3CDTF">2024-11-19T18:47:00Z</dcterms:modified>
</cp:coreProperties>
</file>